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10703A61"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0A70" w:rsidRPr="008D1868">
        <w:rPr>
          <w:rFonts w:cs="Arial"/>
          <w:b/>
          <w:sz w:val="22"/>
          <w:szCs w:val="22"/>
          <w:lang w:val="en-US"/>
        </w:rPr>
        <w:t>1</w:t>
      </w:r>
      <w:r w:rsidR="00D70A70">
        <w:rPr>
          <w:rFonts w:cs="Arial"/>
          <w:b/>
          <w:sz w:val="22"/>
          <w:szCs w:val="22"/>
          <w:lang w:val="en-US"/>
        </w:rPr>
        <w:t>2</w:t>
      </w:r>
      <w:r w:rsidR="00D70A70">
        <w:rPr>
          <w:rFonts w:cs="Arial"/>
          <w:b/>
          <w:sz w:val="22"/>
          <w:szCs w:val="22"/>
          <w:lang w:val="en-US"/>
        </w:rPr>
        <w:t>1</w:t>
      </w:r>
      <w:r w:rsidR="00D70A70">
        <w:rPr>
          <w:rFonts w:cs="Arial" w:hint="eastAsia"/>
          <w:b/>
          <w:sz w:val="22"/>
          <w:szCs w:val="22"/>
          <w:lang w:val="en-US" w:eastAsia="zh-CN"/>
        </w:rPr>
        <w:t>bis</w:t>
      </w:r>
      <w:r w:rsidRPr="008D1868">
        <w:rPr>
          <w:rFonts w:cs="Arial"/>
          <w:b/>
          <w:i/>
          <w:sz w:val="22"/>
          <w:szCs w:val="22"/>
          <w:lang w:val="en-US"/>
        </w:rPr>
        <w:tab/>
      </w:r>
      <w:r w:rsidR="000B392F" w:rsidRPr="000B392F">
        <w:rPr>
          <w:rFonts w:cs="Arial"/>
          <w:b/>
          <w:i/>
          <w:sz w:val="22"/>
          <w:szCs w:val="22"/>
          <w:lang w:val="en-US" w:eastAsia="zh-CN"/>
        </w:rPr>
        <w:t>R2-</w:t>
      </w:r>
      <w:r w:rsidR="00D70A70" w:rsidRPr="000C055A">
        <w:rPr>
          <w:rFonts w:cs="Arial"/>
          <w:b/>
          <w:i/>
          <w:sz w:val="22"/>
          <w:szCs w:val="22"/>
          <w:lang w:val="en-US" w:eastAsia="zh-CN"/>
        </w:rPr>
        <w:t>230</w:t>
      </w:r>
      <w:r w:rsidR="00D70A70">
        <w:rPr>
          <w:rFonts w:cs="Arial"/>
          <w:b/>
          <w:i/>
          <w:sz w:val="22"/>
          <w:szCs w:val="22"/>
          <w:lang w:val="en-US" w:eastAsia="zh-CN"/>
        </w:rPr>
        <w:t>2577</w:t>
      </w:r>
    </w:p>
    <w:p w14:paraId="540B9A86" w14:textId="15821E38" w:rsidR="00D0573B" w:rsidRDefault="008876E4">
      <w:pPr>
        <w:tabs>
          <w:tab w:val="left" w:pos="1701"/>
          <w:tab w:val="right" w:pos="9639"/>
        </w:tabs>
        <w:spacing w:after="0"/>
        <w:rPr>
          <w:rFonts w:cs="Arial"/>
          <w:b/>
          <w:color w:val="000000"/>
          <w:kern w:val="2"/>
          <w:sz w:val="24"/>
        </w:rPr>
      </w:pPr>
      <w:r>
        <w:rPr>
          <w:rFonts w:cs="Arial"/>
          <w:b/>
          <w:sz w:val="22"/>
          <w:szCs w:val="22"/>
          <w:lang w:val="en-US"/>
        </w:rPr>
        <w:t>E-meeting</w:t>
      </w:r>
      <w:r w:rsidR="00D0573B" w:rsidRPr="008D1868">
        <w:rPr>
          <w:rFonts w:cs="Arial"/>
          <w:b/>
          <w:sz w:val="22"/>
          <w:szCs w:val="22"/>
          <w:lang w:val="en-US"/>
        </w:rPr>
        <w:t xml:space="preserve">, </w:t>
      </w:r>
      <w:r>
        <w:rPr>
          <w:rFonts w:cs="Arial"/>
          <w:b/>
          <w:sz w:val="22"/>
          <w:szCs w:val="22"/>
          <w:lang w:val="en-US"/>
        </w:rPr>
        <w:t>April</w:t>
      </w:r>
      <w:r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36D7F34" w:rsidR="00D0573B" w:rsidRDefault="00D0573B">
      <w:pPr>
        <w:pStyle w:val="3GPPHeader"/>
        <w:rPr>
          <w:sz w:val="22"/>
          <w:szCs w:val="22"/>
        </w:rPr>
      </w:pPr>
      <w:r w:rsidRPr="000575E5">
        <w:rPr>
          <w:sz w:val="22"/>
          <w:szCs w:val="22"/>
        </w:rPr>
        <w:t>Agenda Item:</w:t>
      </w:r>
      <w:r w:rsidRPr="000575E5">
        <w:rPr>
          <w:sz w:val="22"/>
          <w:szCs w:val="22"/>
        </w:rPr>
        <w:tab/>
      </w:r>
      <w:r w:rsidR="00C23CC0">
        <w:rPr>
          <w:sz w:val="22"/>
          <w:szCs w:val="22"/>
        </w:rPr>
        <w:t>6</w:t>
      </w:r>
      <w:r w:rsidR="00D82551">
        <w:rPr>
          <w:sz w:val="22"/>
          <w:szCs w:val="22"/>
        </w:rPr>
        <w:t>.1.3.</w:t>
      </w:r>
      <w:r w:rsidR="00A94908">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076D4576"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CB7DEA">
        <w:rPr>
          <w:sz w:val="22"/>
          <w:szCs w:val="22"/>
        </w:rPr>
        <w:t>maximum aggregated bandwidth</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060E687B"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CB7DEA">
        <w:rPr>
          <w:rFonts w:cs="Arial"/>
        </w:rPr>
        <w:t>maximum aggregated bandwidth</w:t>
      </w:r>
      <w:r w:rsidR="008876E4">
        <w:rPr>
          <w:rFonts w:cs="Arial"/>
        </w:rPr>
        <w:t>.</w:t>
      </w:r>
    </w:p>
    <w:bookmarkEnd w:id="5"/>
    <w:p w14:paraId="23312DF5" w14:textId="24021228" w:rsidR="00D0573B" w:rsidRDefault="007E5320" w:rsidP="005662A3">
      <w:pPr>
        <w:pStyle w:val="1"/>
        <w:ind w:left="720" w:hangingChars="200" w:hanging="720"/>
        <w:jc w:val="both"/>
      </w:pPr>
      <w:r>
        <w:t>Discussion</w:t>
      </w:r>
    </w:p>
    <w:p w14:paraId="7E7F504F" w14:textId="0C0F4E0F" w:rsidR="00CB7DEA" w:rsidRDefault="00CB7DEA" w:rsidP="00CB7DEA">
      <w:r>
        <w:rPr>
          <w:rFonts w:hint="eastAsia"/>
        </w:rPr>
        <w:t>I</w:t>
      </w:r>
      <w:r>
        <w:t xml:space="preserve">n the LS, RAN4 raised one solution, i.e., </w:t>
      </w:r>
    </w:p>
    <w:p w14:paraId="6B9BFBF5" w14:textId="77777777" w:rsidR="00CB7DEA" w:rsidRDefault="00CB7DEA" w:rsidP="005968C3">
      <w:pPr>
        <w:pBdr>
          <w:top w:val="single" w:sz="4" w:space="1" w:color="auto"/>
          <w:left w:val="single" w:sz="4" w:space="4" w:color="auto"/>
          <w:bottom w:val="single" w:sz="4" w:space="1" w:color="auto"/>
          <w:right w:val="single" w:sz="4" w:space="4" w:color="auto"/>
        </w:pBdr>
      </w:pPr>
      <w:r>
        <w:t xml:space="preserve">Furthermore, RAN4 has considered that this could be achieved by repurposing the existing IE defined for intra-band non-contiguous CA frequency separation classes to also be applicable to indicate UE’s maximum aggregated BW capability for intra-band contiguous CA which would be independent from </w:t>
      </w:r>
      <w:proofErr w:type="gramStart"/>
      <w:r>
        <w:t>UE’s</w:t>
      </w:r>
      <w:proofErr w:type="gramEnd"/>
      <w:r>
        <w:t xml:space="preserve"> per CC BW capability, and thereby avoiding introduction of a new parameter. By reusing the frequency separation classes to indicate UE’s maximum aggregated BW capability for contiguous CA, the complicated </w:t>
      </w:r>
      <w:proofErr w:type="spellStart"/>
      <w:r>
        <w:t>FeatureSet</w:t>
      </w:r>
      <w:proofErr w:type="spellEnd"/>
      <w:r>
        <w:t xml:space="preserve"> signalling for FBG5 CA BW classes can be avoided, as illustrated below using R12 in FBG5 and maximum aggregated BW = 1600 MHz as an example for which the following parameters are signalled.</w:t>
      </w:r>
    </w:p>
    <w:p w14:paraId="5A1DE827" w14:textId="77777777" w:rsidR="00CB7DEA" w:rsidRDefault="00CB7DEA" w:rsidP="005968C3">
      <w:pPr>
        <w:pBdr>
          <w:top w:val="single" w:sz="4" w:space="1" w:color="auto"/>
          <w:left w:val="single" w:sz="4" w:space="4" w:color="auto"/>
          <w:bottom w:val="single" w:sz="4" w:space="1" w:color="auto"/>
          <w:right w:val="single" w:sz="4" w:space="4" w:color="auto"/>
        </w:pBdr>
      </w:pPr>
    </w:p>
    <w:p w14:paraId="48600DA3" w14:textId="77777777" w:rsidR="00CB7DEA" w:rsidRDefault="00CB7DEA" w:rsidP="005968C3">
      <w:pPr>
        <w:pBdr>
          <w:top w:val="single" w:sz="4" w:space="1" w:color="auto"/>
          <w:left w:val="single" w:sz="4" w:space="4" w:color="auto"/>
          <w:bottom w:val="single" w:sz="4" w:space="1" w:color="auto"/>
          <w:right w:val="single" w:sz="4" w:space="4" w:color="auto"/>
        </w:pBdr>
      </w:pPr>
      <w:r>
        <w:t>CA BW Class: R12</w:t>
      </w:r>
    </w:p>
    <w:p w14:paraId="27F80E84" w14:textId="77777777" w:rsidR="00CB7DEA" w:rsidRDefault="00CB7DEA" w:rsidP="005968C3">
      <w:pPr>
        <w:pBdr>
          <w:top w:val="single" w:sz="4" w:space="1" w:color="auto"/>
          <w:left w:val="single" w:sz="4" w:space="4" w:color="auto"/>
          <w:bottom w:val="single" w:sz="4" w:space="1" w:color="auto"/>
          <w:right w:val="single" w:sz="4" w:space="4" w:color="auto"/>
        </w:pBdr>
      </w:pPr>
      <w:proofErr w:type="spellStart"/>
      <w:r>
        <w:t>intraBandFreqSeparationDL</w:t>
      </w:r>
      <w:proofErr w:type="spellEnd"/>
      <w:r>
        <w:t xml:space="preserve"> = V (1600 MHz)</w:t>
      </w:r>
    </w:p>
    <w:p w14:paraId="7251B1CC" w14:textId="77777777" w:rsidR="00CB7DEA" w:rsidRDefault="00CB7DEA" w:rsidP="005968C3">
      <w:pPr>
        <w:pBdr>
          <w:top w:val="single" w:sz="4" w:space="1" w:color="auto"/>
          <w:left w:val="single" w:sz="4" w:space="4" w:color="auto"/>
          <w:bottom w:val="single" w:sz="4" w:space="1" w:color="auto"/>
          <w:right w:val="single" w:sz="4" w:space="4" w:color="auto"/>
        </w:pBdr>
      </w:pPr>
      <w:r>
        <w:t xml:space="preserve">Note: The </w:t>
      </w:r>
      <w:proofErr w:type="spellStart"/>
      <w:r>
        <w:t>intraBandFreqSeparationDL</w:t>
      </w:r>
      <w:proofErr w:type="spellEnd"/>
      <w:r>
        <w:t xml:space="preserve"> is also supported by the UE for all the lower order CA BW classes (R11, R10, R9, R8) where their aggregated BW upper limit is higher than or equal to </w:t>
      </w:r>
      <w:proofErr w:type="spellStart"/>
      <w:r>
        <w:t>intraBandFreqSeparationDL</w:t>
      </w:r>
      <w:proofErr w:type="spellEnd"/>
      <w:r>
        <w:t>.</w:t>
      </w:r>
    </w:p>
    <w:p w14:paraId="431EC2C4" w14:textId="77777777" w:rsidR="00CB7DEA" w:rsidRDefault="00CB7DEA" w:rsidP="005968C3">
      <w:pPr>
        <w:pBdr>
          <w:top w:val="single" w:sz="4" w:space="1" w:color="auto"/>
          <w:left w:val="single" w:sz="4" w:space="4" w:color="auto"/>
          <w:bottom w:val="single" w:sz="4" w:space="1" w:color="auto"/>
          <w:right w:val="single" w:sz="4" w:space="4" w:color="auto"/>
        </w:pBdr>
      </w:pPr>
    </w:p>
    <w:p w14:paraId="42323B70" w14:textId="0E22A329" w:rsidR="00CB7DEA" w:rsidRDefault="00CB7DEA" w:rsidP="005968C3">
      <w:pPr>
        <w:pBdr>
          <w:top w:val="single" w:sz="4" w:space="1" w:color="auto"/>
          <w:left w:val="single" w:sz="4" w:space="4" w:color="auto"/>
          <w:bottom w:val="single" w:sz="4" w:space="1" w:color="auto"/>
          <w:right w:val="single" w:sz="4" w:space="4" w:color="auto"/>
        </w:pBdr>
      </w:pPr>
      <w:r>
        <w:t>For repurposing the existing IE defined for intra-band non-contiguous CA frequency separation classes to also be applicable to indicate UE’s maximum aggregated BW capability for contiguous CA, specifically for FR2 CA BW classes in FBG5, RAN4 would like to kindly ask RAN2 if this solution is feasible and if there would be any Non-Backward-Compatibility (NBC) issue.</w:t>
      </w:r>
    </w:p>
    <w:p w14:paraId="6F7753A2" w14:textId="699184B8" w:rsidR="00CB7DEA" w:rsidRDefault="00CB7DEA" w:rsidP="00CB7DEA">
      <w:r>
        <w:t xml:space="preserve">The said IE </w:t>
      </w:r>
      <w:proofErr w:type="spellStart"/>
      <w:r>
        <w:t>intraBandFreqSeparationDL</w:t>
      </w:r>
      <w:proofErr w:type="spellEnd"/>
      <w:r>
        <w:t xml:space="preserve"> is defined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7DEA" w:rsidRPr="00E04032" w14:paraId="098CF47E" w14:textId="77777777" w:rsidTr="004E2155">
        <w:trPr>
          <w:cantSplit/>
          <w:tblHeader/>
        </w:trPr>
        <w:tc>
          <w:tcPr>
            <w:tcW w:w="6917" w:type="dxa"/>
          </w:tcPr>
          <w:p w14:paraId="634054A6" w14:textId="77777777" w:rsidR="00CB7DEA" w:rsidRPr="00E04032" w:rsidRDefault="00CB7DEA" w:rsidP="004E2155">
            <w:pPr>
              <w:pStyle w:val="TAL"/>
              <w:rPr>
                <w:b/>
                <w:bCs/>
                <w:i/>
                <w:iCs/>
              </w:rPr>
            </w:pPr>
            <w:proofErr w:type="spellStart"/>
            <w:r w:rsidRPr="00E04032">
              <w:rPr>
                <w:b/>
                <w:bCs/>
                <w:i/>
                <w:iCs/>
              </w:rPr>
              <w:t>intraBandFreqSeparationDL</w:t>
            </w:r>
            <w:proofErr w:type="spellEnd"/>
            <w:r w:rsidRPr="00E04032">
              <w:rPr>
                <w:b/>
                <w:bCs/>
                <w:i/>
                <w:iCs/>
              </w:rPr>
              <w:t>, intraBandFreqSeparationDL-v1620</w:t>
            </w:r>
          </w:p>
          <w:p w14:paraId="35FC4DF4" w14:textId="77777777" w:rsidR="00CB7DEA" w:rsidRPr="00E04032" w:rsidRDefault="00CB7DEA" w:rsidP="004E2155">
            <w:pPr>
              <w:pStyle w:val="TAL"/>
              <w:rPr>
                <w:bCs/>
                <w:iCs/>
              </w:rPr>
            </w:pPr>
            <w:r w:rsidRPr="00E04032">
              <w:rPr>
                <w:bCs/>
                <w:iCs/>
              </w:rPr>
              <w:t xml:space="preserve">Indicates DL frequency separation class the UE supports, which indicates a maximum frequency separation between lower edge of lowest CC and upper edge of highest CC in a frequency band, for intra-band non-contiguous CA. </w:t>
            </w:r>
            <w:r w:rsidRPr="00CB7DEA">
              <w:rPr>
                <w:bCs/>
                <w:iCs/>
              </w:rPr>
              <w:t xml:space="preserve">The UE sets the same value </w:t>
            </w:r>
            <w:r w:rsidRPr="00CB7DEA">
              <w:t xml:space="preserve">in the </w:t>
            </w:r>
            <w:proofErr w:type="spellStart"/>
            <w:r w:rsidRPr="00CB7DEA">
              <w:t>FeatureSetDownlink</w:t>
            </w:r>
            <w:proofErr w:type="spellEnd"/>
            <w:r w:rsidRPr="00CB7DEA">
              <w:t xml:space="preserve"> of each band entry within a band.</w:t>
            </w:r>
            <w:r w:rsidRPr="00E04032">
              <w:rPr>
                <w:bCs/>
                <w:iCs/>
              </w:rPr>
              <w:t xml:space="preserve"> </w:t>
            </w:r>
            <w:r w:rsidRPr="00E04032">
              <w:t xml:space="preserve">The values </w:t>
            </w:r>
            <w:proofErr w:type="spellStart"/>
            <w:r w:rsidRPr="00E04032">
              <w:t>mhzX</w:t>
            </w:r>
            <w:proofErr w:type="spellEnd"/>
            <w:r w:rsidRPr="00E04032">
              <w:t xml:space="preserve"> correspond to the values </w:t>
            </w:r>
            <w:proofErr w:type="spellStart"/>
            <w:r w:rsidRPr="00E04032">
              <w:t>XMHz</w:t>
            </w:r>
            <w:proofErr w:type="spellEnd"/>
            <w:r w:rsidRPr="00E04032">
              <w:t xml:space="preserve"> defined in TS 38.101-2 [3]</w:t>
            </w:r>
            <w:r w:rsidRPr="00E04032">
              <w:rPr>
                <w:bCs/>
                <w:iCs/>
              </w:rPr>
              <w:t>. It is mandatory to report for UE which supports DL intra-band non-contiguous CA in FR2.</w:t>
            </w:r>
          </w:p>
          <w:p w14:paraId="2B4767D4" w14:textId="77777777" w:rsidR="00CB7DEA" w:rsidRPr="00E04032" w:rsidRDefault="00CB7DEA" w:rsidP="004E2155">
            <w:pPr>
              <w:pStyle w:val="TAL"/>
            </w:pPr>
            <w:r w:rsidRPr="00E04032">
              <w:rPr>
                <w:rFonts w:cs="Arial"/>
                <w:iCs/>
                <w:szCs w:val="18"/>
              </w:rPr>
              <w:t xml:space="preserve">If the UE sets the field </w:t>
            </w:r>
            <w:r w:rsidRPr="00E04032">
              <w:rPr>
                <w:rFonts w:cs="Arial"/>
                <w:i/>
                <w:iCs/>
                <w:szCs w:val="18"/>
              </w:rPr>
              <w:t>intraBandFreqSeparationDL-v1620</w:t>
            </w:r>
            <w:r w:rsidRPr="00E04032">
              <w:rPr>
                <w:rFonts w:cs="Arial"/>
                <w:iCs/>
                <w:szCs w:val="18"/>
              </w:rPr>
              <w:t xml:space="preserve"> it shall set </w:t>
            </w:r>
            <w:proofErr w:type="spellStart"/>
            <w:r w:rsidRPr="00E04032">
              <w:rPr>
                <w:rFonts w:cs="Arial"/>
                <w:i/>
                <w:iCs/>
                <w:szCs w:val="18"/>
              </w:rPr>
              <w:t>intraBandFreqSeparationDL</w:t>
            </w:r>
            <w:proofErr w:type="spellEnd"/>
            <w:r w:rsidRPr="00E04032">
              <w:rPr>
                <w:rFonts w:cs="Arial"/>
                <w:iCs/>
                <w:szCs w:val="18"/>
              </w:rPr>
              <w:t xml:space="preserve"> (without suffix) to the nearest smaller value.</w:t>
            </w:r>
          </w:p>
        </w:tc>
        <w:tc>
          <w:tcPr>
            <w:tcW w:w="709" w:type="dxa"/>
          </w:tcPr>
          <w:p w14:paraId="6D66EFDA" w14:textId="77777777" w:rsidR="00CB7DEA" w:rsidRPr="00E04032" w:rsidRDefault="00CB7DEA" w:rsidP="004E2155">
            <w:pPr>
              <w:pStyle w:val="TAL"/>
              <w:jc w:val="center"/>
            </w:pPr>
            <w:r w:rsidRPr="005968C3">
              <w:rPr>
                <w:bCs/>
                <w:iCs/>
                <w:highlight w:val="yellow"/>
              </w:rPr>
              <w:t>FS</w:t>
            </w:r>
          </w:p>
        </w:tc>
        <w:tc>
          <w:tcPr>
            <w:tcW w:w="567" w:type="dxa"/>
          </w:tcPr>
          <w:p w14:paraId="210C751C" w14:textId="77777777" w:rsidR="00CB7DEA" w:rsidRPr="00E04032" w:rsidRDefault="00CB7DEA" w:rsidP="004E2155">
            <w:pPr>
              <w:pStyle w:val="TAL"/>
              <w:jc w:val="center"/>
            </w:pPr>
            <w:r w:rsidRPr="00E04032">
              <w:rPr>
                <w:bCs/>
                <w:iCs/>
              </w:rPr>
              <w:t>CY</w:t>
            </w:r>
          </w:p>
        </w:tc>
        <w:tc>
          <w:tcPr>
            <w:tcW w:w="709" w:type="dxa"/>
          </w:tcPr>
          <w:p w14:paraId="75F570D6" w14:textId="77777777" w:rsidR="00CB7DEA" w:rsidRPr="00E04032" w:rsidRDefault="00CB7DEA" w:rsidP="004E2155">
            <w:pPr>
              <w:pStyle w:val="TAL"/>
              <w:jc w:val="center"/>
            </w:pPr>
            <w:r w:rsidRPr="00E04032">
              <w:rPr>
                <w:bCs/>
                <w:iCs/>
              </w:rPr>
              <w:t>N/A</w:t>
            </w:r>
          </w:p>
        </w:tc>
        <w:tc>
          <w:tcPr>
            <w:tcW w:w="728" w:type="dxa"/>
          </w:tcPr>
          <w:p w14:paraId="63F6AE63" w14:textId="77777777" w:rsidR="00CB7DEA" w:rsidRPr="00E04032" w:rsidRDefault="00CB7DEA" w:rsidP="004E2155">
            <w:pPr>
              <w:pStyle w:val="TAL"/>
              <w:jc w:val="center"/>
            </w:pPr>
            <w:r w:rsidRPr="005968C3">
              <w:rPr>
                <w:highlight w:val="yellow"/>
              </w:rPr>
              <w:t>FR2 only</w:t>
            </w:r>
          </w:p>
        </w:tc>
      </w:tr>
    </w:tbl>
    <w:p w14:paraId="31FB552B" w14:textId="64606E52" w:rsidR="00CB7DEA" w:rsidRDefault="00CB7DEA" w:rsidP="00CB7DEA">
      <w:pPr>
        <w:spacing w:beforeLines="50" w:before="120"/>
      </w:pPr>
      <w:r>
        <w:rPr>
          <w:rFonts w:hint="eastAsia"/>
        </w:rPr>
        <w:t>B</w:t>
      </w:r>
      <w:r>
        <w:t xml:space="preserve">ased on R4-2215160, </w:t>
      </w:r>
    </w:p>
    <w:p w14:paraId="14EE4D41" w14:textId="4B1A115E" w:rsidR="00CB7DEA" w:rsidRDefault="00CB7DEA" w:rsidP="00CB7DEA">
      <w:pPr>
        <w:pBdr>
          <w:top w:val="single" w:sz="4" w:space="1" w:color="auto"/>
          <w:left w:val="single" w:sz="4" w:space="4" w:color="auto"/>
          <w:bottom w:val="single" w:sz="4" w:space="1" w:color="auto"/>
          <w:right w:val="single" w:sz="4" w:space="4" w:color="auto"/>
        </w:pBdr>
      </w:pPr>
      <w:r w:rsidRPr="005968C3">
        <w:lastRenderedPageBreak/>
        <w:t>The new IE applies to intra-band carrier contiguous aggregation as well as an intra-band contiguous carrier aggregation component within an inter-band carrier aggregation. The new IE is separately applicable to each, UL, and DL.</w:t>
      </w:r>
    </w:p>
    <w:p w14:paraId="42191472" w14:textId="05770BDF" w:rsidR="00CB7DEA" w:rsidRPr="005968C3" w:rsidRDefault="00CB7DEA" w:rsidP="005968C3">
      <w:pPr>
        <w:pBdr>
          <w:top w:val="single" w:sz="4" w:space="1" w:color="auto"/>
          <w:left w:val="single" w:sz="4" w:space="4" w:color="auto"/>
          <w:bottom w:val="single" w:sz="4" w:space="1" w:color="auto"/>
          <w:right w:val="single" w:sz="4" w:space="4" w:color="auto"/>
        </w:pBdr>
      </w:pPr>
      <w:r>
        <w:rPr>
          <w:rFonts w:hint="eastAsia"/>
        </w:rPr>
        <w:t>[</w:t>
      </w:r>
      <w:r>
        <w:t>…]</w:t>
      </w:r>
    </w:p>
    <w:p w14:paraId="1328788B" w14:textId="77777777" w:rsidR="00CB7DEA" w:rsidRPr="005968C3" w:rsidRDefault="00CB7DEA" w:rsidP="005968C3">
      <w:pPr>
        <w:pBdr>
          <w:top w:val="single" w:sz="4" w:space="1" w:color="auto"/>
          <w:left w:val="single" w:sz="4" w:space="4" w:color="auto"/>
          <w:bottom w:val="single" w:sz="4" w:space="1" w:color="auto"/>
          <w:right w:val="single" w:sz="4" w:space="4" w:color="auto"/>
        </w:pBdr>
      </w:pPr>
      <w:r w:rsidRPr="005968C3">
        <w:t xml:space="preserve">The IE conveys the max. aggregated bandwidth value for each </w:t>
      </w:r>
      <w:proofErr w:type="spellStart"/>
      <w:r w:rsidRPr="005968C3">
        <w:t>FeatureSetListPerUplink</w:t>
      </w:r>
      <w:proofErr w:type="spellEnd"/>
      <w:r w:rsidRPr="005968C3">
        <w:t xml:space="preserve">(Downlink)CC. for example, in each </w:t>
      </w:r>
      <w:proofErr w:type="spellStart"/>
      <w:r w:rsidRPr="005968C3">
        <w:t>FeatureSetUplink</w:t>
      </w:r>
      <w:proofErr w:type="spellEnd"/>
      <w:r w:rsidRPr="005968C3">
        <w:t xml:space="preserve">(Downlink). </w:t>
      </w:r>
    </w:p>
    <w:p w14:paraId="6275374C" w14:textId="395BBA90" w:rsidR="00CB7DEA" w:rsidRDefault="00CB7DEA" w:rsidP="00CB7DEA">
      <w:pPr>
        <w:spacing w:beforeLines="50" w:before="120"/>
      </w:pPr>
      <w:r>
        <w:t>So it seems suggesting the max-</w:t>
      </w:r>
      <w:proofErr w:type="spellStart"/>
      <w:r>
        <w:t>agg</w:t>
      </w:r>
      <w:proofErr w:type="spellEnd"/>
      <w:r>
        <w:t xml:space="preserve">-BW IE should be indicated per-FS, i.e., per-band-entry, which means same granularity as for </w:t>
      </w:r>
      <w:proofErr w:type="spellStart"/>
      <w:r w:rsidRPr="005968C3">
        <w:rPr>
          <w:i/>
          <w:iCs/>
        </w:rPr>
        <w:t>intraBandFreqSeparationDL</w:t>
      </w:r>
      <w:proofErr w:type="spellEnd"/>
      <w:r>
        <w:rPr>
          <w:rFonts w:hint="eastAsia"/>
        </w:rPr>
        <w:t>.</w:t>
      </w:r>
      <w:r>
        <w:t xml:space="preserve"> </w:t>
      </w:r>
    </w:p>
    <w:p w14:paraId="0F110A7F" w14:textId="5F890EFD" w:rsidR="00CB7DEA" w:rsidRDefault="00CB7DEA" w:rsidP="00CB7DEA">
      <w:pPr>
        <w:spacing w:beforeLines="50" w:before="120"/>
      </w:pPr>
      <w:r>
        <w:rPr>
          <w:rFonts w:hint="eastAsia"/>
        </w:rPr>
        <w:t>I</w:t>
      </w:r>
      <w:r>
        <w:t xml:space="preserve">f R4 intention </w:t>
      </w:r>
      <w:proofErr w:type="gramStart"/>
      <w:r>
        <w:t>was:</w:t>
      </w:r>
      <w:proofErr w:type="gramEnd"/>
      <w:r>
        <w:t xml:space="preserve"> since the max-</w:t>
      </w:r>
      <w:proofErr w:type="spellStart"/>
      <w:r>
        <w:t>agg</w:t>
      </w:r>
      <w:proofErr w:type="spellEnd"/>
      <w:r>
        <w:t xml:space="preserve">-BW targets as intra-band or inter-band case </w:t>
      </w:r>
      <w:r w:rsidRPr="005968C3">
        <w:rPr>
          <w:b/>
          <w:bCs/>
        </w:rPr>
        <w:t>without</w:t>
      </w:r>
      <w:r>
        <w:t xml:space="preserve"> non-contiguous block, while the </w:t>
      </w:r>
      <w:proofErr w:type="spellStart"/>
      <w:r w:rsidRPr="004E2155">
        <w:rPr>
          <w:i/>
          <w:iCs/>
        </w:rPr>
        <w:t>intraBandFreqSeparationDL</w:t>
      </w:r>
      <w:proofErr w:type="spellEnd"/>
      <w:r>
        <w:t xml:space="preserve"> IE is for the intra-band case </w:t>
      </w:r>
      <w:r w:rsidRPr="005968C3">
        <w:rPr>
          <w:b/>
          <w:bCs/>
        </w:rPr>
        <w:t>with</w:t>
      </w:r>
      <w:r>
        <w:t xml:space="preserve"> non-contiguous block, it seems no difference compared to introducing a new IE, since</w:t>
      </w:r>
    </w:p>
    <w:p w14:paraId="64A7AC14" w14:textId="4CEE629A" w:rsidR="00CB7DEA" w:rsidRDefault="00CB7DEA" w:rsidP="00CB7DEA">
      <w:pPr>
        <w:spacing w:beforeLines="50" w:before="120"/>
      </w:pPr>
      <w:r>
        <w:rPr>
          <w:rFonts w:hint="eastAsia"/>
        </w:rPr>
        <w:t>1</w:t>
      </w:r>
      <w:r>
        <w:t xml:space="preserve">/ </w:t>
      </w:r>
      <w:proofErr w:type="spellStart"/>
      <w:r>
        <w:t>signaling</w:t>
      </w:r>
      <w:proofErr w:type="spellEnd"/>
      <w:r>
        <w:t xml:space="preserve">-wise, it is the same, since the old </w:t>
      </w:r>
      <w:proofErr w:type="spellStart"/>
      <w:r w:rsidRPr="004E2155">
        <w:rPr>
          <w:i/>
          <w:iCs/>
        </w:rPr>
        <w:t>intraBandFreqSeparationDL</w:t>
      </w:r>
      <w:proofErr w:type="spellEnd"/>
      <w:r>
        <w:t xml:space="preserve"> will not be reported for the case of intra-band or inter-band case </w:t>
      </w:r>
      <w:r w:rsidRPr="004E2155">
        <w:rPr>
          <w:b/>
          <w:bCs/>
        </w:rPr>
        <w:t>without</w:t>
      </w:r>
      <w:r>
        <w:t xml:space="preserve"> non-contiguous </w:t>
      </w:r>
      <w:proofErr w:type="gramStart"/>
      <w:r>
        <w:t>block;</w:t>
      </w:r>
      <w:proofErr w:type="gramEnd"/>
    </w:p>
    <w:p w14:paraId="704998CA" w14:textId="272AD479" w:rsidR="00CB7DEA" w:rsidRDefault="00CB7DEA" w:rsidP="00CB7DEA">
      <w:pPr>
        <w:spacing w:beforeLines="50" w:before="120"/>
      </w:pPr>
      <w:r>
        <w:rPr>
          <w:rFonts w:hint="eastAsia"/>
        </w:rPr>
        <w:t>2</w:t>
      </w:r>
      <w:r>
        <w:t>/ repurposing the existing IE would cause misunderstanding, i.e., a frequency-separation IE indicates max-</w:t>
      </w:r>
      <w:proofErr w:type="spellStart"/>
      <w:r>
        <w:t>agg</w:t>
      </w:r>
      <w:proofErr w:type="spellEnd"/>
      <w:r>
        <w:t>-BW.</w:t>
      </w:r>
    </w:p>
    <w:p w14:paraId="3125EBDE" w14:textId="7D1A849B" w:rsidR="00CB7DEA" w:rsidRDefault="00CB7DEA" w:rsidP="00CB7DEA">
      <w:pPr>
        <w:spacing w:beforeLines="50" w:before="120"/>
      </w:pPr>
      <w:r>
        <w:rPr>
          <w:rFonts w:hint="eastAsia"/>
        </w:rPr>
        <w:t>3</w:t>
      </w:r>
      <w:r>
        <w:t>/ in the future, if the max-</w:t>
      </w:r>
      <w:proofErr w:type="spellStart"/>
      <w:r>
        <w:t>agg</w:t>
      </w:r>
      <w:proofErr w:type="spellEnd"/>
      <w:r>
        <w:t>-BW is to be extended to the blocks of an intra-band non-contiguous blocks, the collision still exists.</w:t>
      </w:r>
    </w:p>
    <w:p w14:paraId="7D5E1721" w14:textId="1F2CA775" w:rsidR="00CB7DEA" w:rsidRDefault="00CB7DEA" w:rsidP="00CB7DEA">
      <w:pPr>
        <w:spacing w:beforeLines="50" w:before="120"/>
      </w:pPr>
      <w:r>
        <w:rPr>
          <w:rFonts w:hint="eastAsia"/>
        </w:rPr>
        <w:t>4</w:t>
      </w:r>
      <w:r>
        <w:t xml:space="preserve">/ </w:t>
      </w:r>
      <w:r>
        <w:rPr>
          <w:rFonts w:hint="eastAsia"/>
        </w:rPr>
        <w:t>I</w:t>
      </w:r>
      <w:r>
        <w:t xml:space="preserve">t is not clear whether the value range of the two IEs will be always the same, i.e., the extended value range is also a reason for </w:t>
      </w:r>
      <w:proofErr w:type="spellStart"/>
      <w:r>
        <w:t>signaling</w:t>
      </w:r>
      <w:proofErr w:type="spellEnd"/>
      <w:r>
        <w:t xml:space="preserve"> overhead increase</w:t>
      </w:r>
    </w:p>
    <w:p w14:paraId="0F210062" w14:textId="19C76C00" w:rsidR="00CB7DEA" w:rsidRDefault="00CB7DEA" w:rsidP="00CB7DEA">
      <w:pPr>
        <w:spacing w:beforeLines="50" w:before="120"/>
      </w:pPr>
      <w:r>
        <w:rPr>
          <w:rFonts w:hint="eastAsia"/>
        </w:rPr>
        <w:t>S</w:t>
      </w:r>
      <w:r>
        <w:t xml:space="preserve">o </w:t>
      </w:r>
      <w:proofErr w:type="gramStart"/>
      <w:r>
        <w:t>regardless</w:t>
      </w:r>
      <w:proofErr w:type="gramEnd"/>
      <w:r>
        <w:t xml:space="preserve"> whether max-</w:t>
      </w:r>
      <w:proofErr w:type="spellStart"/>
      <w:r>
        <w:t>agg</w:t>
      </w:r>
      <w:proofErr w:type="spellEnd"/>
      <w:r>
        <w:t xml:space="preserve">-BW IE is motivated, repurposing an old IE seems not a feasible way-out. </w:t>
      </w:r>
    </w:p>
    <w:p w14:paraId="1286F89F" w14:textId="0438F589" w:rsidR="00CB7DEA" w:rsidRPr="00CB7DEA" w:rsidRDefault="00CB7DEA" w:rsidP="005968C3">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30304703"/>
      <w:r>
        <w:rPr>
          <w:rFonts w:hint="eastAsia"/>
        </w:rPr>
        <w:t>R</w:t>
      </w:r>
      <w:r>
        <w:t>AN2 not purse introducing max-</w:t>
      </w:r>
      <w:proofErr w:type="spellStart"/>
      <w:r>
        <w:t>agg</w:t>
      </w:r>
      <w:proofErr w:type="spellEnd"/>
      <w:r>
        <w:t xml:space="preserve">-BW by repurposing the IE of </w:t>
      </w:r>
      <w:proofErr w:type="spellStart"/>
      <w:r w:rsidRPr="004E2155">
        <w:rPr>
          <w:i/>
          <w:iCs/>
        </w:rPr>
        <w:t>intraBandFreqSeparationDL</w:t>
      </w:r>
      <w:proofErr w:type="spellEnd"/>
      <w:r>
        <w:t>.</w:t>
      </w:r>
      <w:bookmarkEnd w:id="6"/>
    </w:p>
    <w:p w14:paraId="0C6C04A5" w14:textId="2C91DB9A" w:rsidR="00E44203" w:rsidRPr="00784EBA" w:rsidRDefault="00E44203" w:rsidP="00784EBA">
      <w:bookmarkStart w:id="7" w:name="_Toc130285439"/>
      <w:bookmarkStart w:id="8" w:name="_Toc130285440"/>
      <w:bookmarkStart w:id="9" w:name="_Toc130285457"/>
      <w:bookmarkStart w:id="10" w:name="_Toc130285467"/>
      <w:bookmarkStart w:id="11" w:name="_Toc130285468"/>
      <w:bookmarkStart w:id="12" w:name="_Toc130285478"/>
      <w:bookmarkStart w:id="13" w:name="_Toc130285494"/>
      <w:bookmarkStart w:id="14" w:name="_Toc130285510"/>
      <w:bookmarkStart w:id="15" w:name="_Toc130285526"/>
      <w:bookmarkStart w:id="16" w:name="_Toc130285542"/>
      <w:bookmarkStart w:id="17" w:name="_Toc130285552"/>
      <w:bookmarkStart w:id="18" w:name="_Toc130285553"/>
      <w:bookmarkStart w:id="19" w:name="_Toc130285554"/>
      <w:bookmarkStart w:id="20" w:name="_Toc130285555"/>
      <w:bookmarkStart w:id="21" w:name="_Toc130285556"/>
      <w:bookmarkStart w:id="22" w:name="_Toc130285557"/>
      <w:bookmarkStart w:id="23" w:name="_Toc130285558"/>
      <w:bookmarkStart w:id="24" w:name="_Toc130285566"/>
      <w:bookmarkStart w:id="25" w:name="_Toc130285567"/>
      <w:bookmarkStart w:id="26" w:name="_Toc130285568"/>
      <w:bookmarkStart w:id="27" w:name="_Toc130285569"/>
      <w:bookmarkStart w:id="28" w:name="_Toc130285570"/>
      <w:bookmarkStart w:id="29" w:name="_Toc130285571"/>
      <w:bookmarkStart w:id="30" w:name="_Toc130285572"/>
      <w:bookmarkStart w:id="31" w:name="_Toc130285573"/>
      <w:bookmarkStart w:id="32" w:name="_Toc130285574"/>
      <w:bookmarkStart w:id="33" w:name="_Toc130285575"/>
      <w:bookmarkStart w:id="34" w:name="_Toc130285588"/>
      <w:bookmarkStart w:id="35" w:name="_Toc130285589"/>
      <w:bookmarkStart w:id="36" w:name="_Toc130285590"/>
      <w:bookmarkStart w:id="37" w:name="_Toc130285591"/>
      <w:bookmarkStart w:id="38" w:name="_Toc130285592"/>
      <w:bookmarkStart w:id="39" w:name="_Toc130285593"/>
      <w:bookmarkStart w:id="40" w:name="_Toc130285594"/>
      <w:bookmarkStart w:id="41" w:name="_Toc130285595"/>
      <w:bookmarkStart w:id="42" w:name="_Toc130285596"/>
      <w:bookmarkStart w:id="43" w:name="_Toc130285597"/>
      <w:bookmarkStart w:id="44" w:name="_Toc130285598"/>
      <w:bookmarkStart w:id="45" w:name="_Toc130285599"/>
      <w:bookmarkStart w:id="46" w:name="_Toc130285600"/>
      <w:bookmarkStart w:id="47" w:name="_Toc130285601"/>
      <w:bookmarkStart w:id="48" w:name="_Toc130285602"/>
      <w:bookmarkStart w:id="49" w:name="_Toc130285603"/>
      <w:bookmarkStart w:id="50" w:name="_Toc130285604"/>
      <w:bookmarkStart w:id="51" w:name="_Toc130285605"/>
      <w:bookmarkStart w:id="52" w:name="_Toc130285606"/>
      <w:bookmarkStart w:id="53" w:name="_Toc130285607"/>
      <w:bookmarkStart w:id="54" w:name="_Toc130285608"/>
      <w:bookmarkStart w:id="55" w:name="_Toc130285609"/>
      <w:bookmarkStart w:id="56" w:name="_Toc130285610"/>
      <w:bookmarkStart w:id="57" w:name="_Toc130285611"/>
      <w:bookmarkStart w:id="58" w:name="_Toc130285612"/>
      <w:bookmarkStart w:id="59" w:name="_Toc130285613"/>
      <w:bookmarkStart w:id="60" w:name="_Toc130285614"/>
      <w:bookmarkStart w:id="61" w:name="_Toc130285615"/>
      <w:bookmarkStart w:id="62" w:name="_Toc122613820"/>
      <w:bookmarkStart w:id="63" w:name="_Toc122614375"/>
      <w:bookmarkStart w:id="64" w:name="_Toc122613821"/>
      <w:bookmarkStart w:id="65" w:name="_Toc122614376"/>
      <w:bookmarkStart w:id="66" w:name="_Toc122613822"/>
      <w:bookmarkStart w:id="67" w:name="_Toc122614377"/>
      <w:bookmarkStart w:id="68" w:name="_Toc122613823"/>
      <w:bookmarkStart w:id="69" w:name="_Toc122614378"/>
      <w:bookmarkStart w:id="70" w:name="_Toc122613824"/>
      <w:bookmarkStart w:id="71" w:name="_Toc122614379"/>
      <w:bookmarkStart w:id="72" w:name="_Toc122613825"/>
      <w:bookmarkStart w:id="73" w:name="_Toc122614380"/>
      <w:bookmarkStart w:id="74" w:name="_Toc122613826"/>
      <w:bookmarkStart w:id="75" w:name="_Toc122614381"/>
      <w:bookmarkStart w:id="76" w:name="_Toc122613827"/>
      <w:bookmarkStart w:id="77" w:name="_Toc122614382"/>
      <w:bookmarkStart w:id="78" w:name="_Toc122613828"/>
      <w:bookmarkStart w:id="79" w:name="_Toc122614383"/>
      <w:bookmarkStart w:id="80" w:name="_Toc122613829"/>
      <w:bookmarkStart w:id="81" w:name="_Toc122614384"/>
      <w:bookmarkStart w:id="82" w:name="_Toc122613830"/>
      <w:bookmarkStart w:id="83" w:name="_Toc122614385"/>
      <w:bookmarkStart w:id="84" w:name="_Toc122613831"/>
      <w:bookmarkStart w:id="85" w:name="_Toc122614386"/>
      <w:bookmarkStart w:id="86" w:name="_Toc122613832"/>
      <w:bookmarkStart w:id="87" w:name="_Toc122614387"/>
      <w:bookmarkStart w:id="88" w:name="_Toc122613833"/>
      <w:bookmarkStart w:id="89" w:name="_Toc122614388"/>
      <w:bookmarkStart w:id="90" w:name="_Toc122613834"/>
      <w:bookmarkStart w:id="91" w:name="_Toc12261438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21B23D8" w14:textId="77777777" w:rsidR="00D0573B" w:rsidRDefault="00D0573B">
      <w:pPr>
        <w:pStyle w:val="1"/>
      </w:pPr>
      <w:r>
        <w:t>Conclusion</w:t>
      </w:r>
    </w:p>
    <w:p w14:paraId="363AC2BA" w14:textId="293756F6" w:rsidR="00D0573B" w:rsidRDefault="00D0573B">
      <w:r>
        <w:t>We have the following proposals:</w:t>
      </w:r>
    </w:p>
    <w:p w14:paraId="46158B1A" w14:textId="72ECE024" w:rsidR="00CB7DEA"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0304703" w:history="1">
        <w:r w:rsidR="00CB7DEA" w:rsidRPr="00057028">
          <w:rPr>
            <w:rStyle w:val="a5"/>
            <w:noProof/>
          </w:rPr>
          <w:t>Proposal 1</w:t>
        </w:r>
        <w:r w:rsidR="00CB7DEA">
          <w:rPr>
            <w:rFonts w:asciiTheme="minorHAnsi" w:eastAsiaTheme="minorEastAsia" w:hAnsiTheme="minorHAnsi" w:cstheme="minorBidi"/>
            <w:b w:val="0"/>
            <w:noProof/>
            <w:kern w:val="2"/>
            <w:sz w:val="21"/>
          </w:rPr>
          <w:tab/>
        </w:r>
        <w:r w:rsidR="00CB7DEA" w:rsidRPr="00057028">
          <w:rPr>
            <w:rStyle w:val="a5"/>
            <w:noProof/>
          </w:rPr>
          <w:t xml:space="preserve">RAN2 not purse introducing max-agg-BW by repurposing the IE of </w:t>
        </w:r>
        <w:r w:rsidR="00CB7DEA" w:rsidRPr="00057028">
          <w:rPr>
            <w:rStyle w:val="a5"/>
            <w:i/>
            <w:iCs/>
            <w:noProof/>
          </w:rPr>
          <w:t>intraBandFreqSeparationDL</w:t>
        </w:r>
        <w:r w:rsidR="00CB7DEA" w:rsidRPr="00057028">
          <w:rPr>
            <w:rStyle w:val="a5"/>
            <w:noProof/>
          </w:rPr>
          <w:t>.</w:t>
        </w:r>
      </w:hyperlink>
    </w:p>
    <w:p w14:paraId="2F566ED3" w14:textId="13022E1B" w:rsidR="00D0573B" w:rsidRDefault="00D0573B">
      <w:pPr>
        <w:rPr>
          <w:b/>
          <w:bCs/>
        </w:rPr>
      </w:pPr>
      <w:r>
        <w:fldChar w:fldCharType="end"/>
      </w:r>
    </w:p>
    <w:p w14:paraId="21E65997" w14:textId="77777777" w:rsidR="00D0573B" w:rsidRDefault="00D0573B">
      <w:pPr>
        <w:pStyle w:val="1"/>
      </w:pPr>
      <w:bookmarkStart w:id="92" w:name="_In-sequence_SDU_delivery"/>
      <w:bookmarkStart w:id="93" w:name="_Ref189809556"/>
      <w:bookmarkStart w:id="94" w:name="_Ref174151459"/>
      <w:bookmarkStart w:id="95" w:name="_Ref450865335"/>
      <w:bookmarkEnd w:id="92"/>
      <w:r>
        <w:rPr>
          <w:rFonts w:hint="eastAsia"/>
        </w:rPr>
        <w:t>Reference</w:t>
      </w:r>
      <w:bookmarkEnd w:id="93"/>
      <w:bookmarkEnd w:id="94"/>
      <w:bookmarkEnd w:id="95"/>
    </w:p>
    <w:p w14:paraId="1D07AD88" w14:textId="01101185" w:rsidR="00D0573B" w:rsidRDefault="005968C3" w:rsidP="005968C3">
      <w:pPr>
        <w:pStyle w:val="af7"/>
        <w:numPr>
          <w:ilvl w:val="0"/>
          <w:numId w:val="14"/>
        </w:numPr>
        <w:rPr>
          <w:lang w:val="en-US"/>
        </w:rPr>
      </w:pPr>
      <w:r w:rsidRPr="005968C3">
        <w:rPr>
          <w:lang w:val="en-US"/>
        </w:rPr>
        <w:t>R4-2303685</w:t>
      </w:r>
      <w:r>
        <w:rPr>
          <w:rFonts w:hint="eastAsia"/>
          <w:lang w:val="en-US"/>
        </w:rPr>
        <w:t>,</w:t>
      </w:r>
      <w:r>
        <w:rPr>
          <w:lang w:val="en-US"/>
        </w:rPr>
        <w:t xml:space="preserve"> </w:t>
      </w:r>
      <w:r w:rsidRPr="005968C3">
        <w:rPr>
          <w:lang w:val="en-US"/>
        </w:rPr>
        <w:t xml:space="preserve">LS on UE </w:t>
      </w:r>
      <w:proofErr w:type="spellStart"/>
      <w:r w:rsidRPr="005968C3">
        <w:rPr>
          <w:lang w:val="en-US"/>
        </w:rPr>
        <w:t>signalling</w:t>
      </w:r>
      <w:proofErr w:type="spellEnd"/>
      <w:r w:rsidRPr="005968C3">
        <w:rPr>
          <w:lang w:val="en-US"/>
        </w:rPr>
        <w:t xml:space="preserve"> for the maximum aggregated bandwidth for FR1 CA</w:t>
      </w:r>
    </w:p>
    <w:p w14:paraId="2FF05A2E" w14:textId="16FB16F6" w:rsidR="005968C3" w:rsidRPr="00975A82" w:rsidRDefault="005968C3" w:rsidP="005968C3">
      <w:pPr>
        <w:pStyle w:val="af7"/>
        <w:numPr>
          <w:ilvl w:val="0"/>
          <w:numId w:val="14"/>
        </w:numPr>
        <w:rPr>
          <w:lang w:val="en-US"/>
        </w:rPr>
      </w:pPr>
      <w:r w:rsidRPr="005968C3">
        <w:rPr>
          <w:lang w:val="en-US"/>
        </w:rPr>
        <w:t>R4-2303689</w:t>
      </w:r>
      <w:r>
        <w:rPr>
          <w:lang w:val="en-US"/>
        </w:rPr>
        <w:t xml:space="preserve">, </w:t>
      </w:r>
      <w:r w:rsidRPr="005968C3">
        <w:rPr>
          <w:lang w:val="en-US"/>
        </w:rPr>
        <w:t xml:space="preserve">LS on signaling for FR2 FBG5 CA BW </w:t>
      </w:r>
      <w:proofErr w:type="gramStart"/>
      <w:r w:rsidRPr="005968C3">
        <w:rPr>
          <w:lang w:val="en-US"/>
        </w:rPr>
        <w:t>classes</w:t>
      </w:r>
      <w:proofErr w:type="gramEnd"/>
    </w:p>
    <w:sectPr w:rsidR="005968C3" w:rsidRPr="00975A8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9759" w14:textId="77777777" w:rsidR="00644072" w:rsidRDefault="00644072">
      <w:pPr>
        <w:spacing w:after="0"/>
      </w:pPr>
      <w:r>
        <w:separator/>
      </w:r>
    </w:p>
  </w:endnote>
  <w:endnote w:type="continuationSeparator" w:id="0">
    <w:p w14:paraId="66D05601" w14:textId="77777777" w:rsidR="00644072" w:rsidRDefault="00644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7C406" w14:textId="77777777" w:rsidR="00644072" w:rsidRDefault="00644072">
      <w:pPr>
        <w:spacing w:after="0"/>
      </w:pPr>
      <w:r>
        <w:separator/>
      </w:r>
    </w:p>
  </w:footnote>
  <w:footnote w:type="continuationSeparator" w:id="0">
    <w:p w14:paraId="00ADA75B" w14:textId="77777777" w:rsidR="00644072" w:rsidRDefault="006440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0"/>
  </w:num>
  <w:num w:numId="2" w16cid:durableId="2106264344">
    <w:abstractNumId w:val="13"/>
  </w:num>
  <w:num w:numId="3" w16cid:durableId="2058772509">
    <w:abstractNumId w:val="5"/>
  </w:num>
  <w:num w:numId="4" w16cid:durableId="1657027614">
    <w:abstractNumId w:val="9"/>
  </w:num>
  <w:num w:numId="5" w16cid:durableId="42143930">
    <w:abstractNumId w:val="4"/>
  </w:num>
  <w:num w:numId="6" w16cid:durableId="1820419331">
    <w:abstractNumId w:val="8"/>
  </w:num>
  <w:num w:numId="7" w16cid:durableId="2143577212">
    <w:abstractNumId w:val="7"/>
  </w:num>
  <w:num w:numId="8" w16cid:durableId="908924519">
    <w:abstractNumId w:val="11"/>
  </w:num>
  <w:num w:numId="9" w16cid:durableId="854926270">
    <w:abstractNumId w:val="21"/>
  </w:num>
  <w:num w:numId="10" w16cid:durableId="1525249853">
    <w:abstractNumId w:val="12"/>
  </w:num>
  <w:num w:numId="11" w16cid:durableId="863907421">
    <w:abstractNumId w:val="20"/>
  </w:num>
  <w:num w:numId="12" w16cid:durableId="1569801296">
    <w:abstractNumId w:val="15"/>
  </w:num>
  <w:num w:numId="13" w16cid:durableId="832069413">
    <w:abstractNumId w:val="18"/>
  </w:num>
  <w:num w:numId="14" w16cid:durableId="663819975">
    <w:abstractNumId w:val="10"/>
  </w:num>
  <w:num w:numId="15" w16cid:durableId="1186401110">
    <w:abstractNumId w:val="6"/>
  </w:num>
  <w:num w:numId="16" w16cid:durableId="1774402544">
    <w:abstractNumId w:val="1"/>
  </w:num>
  <w:num w:numId="17" w16cid:durableId="1099176735">
    <w:abstractNumId w:val="16"/>
  </w:num>
  <w:num w:numId="18" w16cid:durableId="1655523606">
    <w:abstractNumId w:val="14"/>
  </w:num>
  <w:num w:numId="19" w16cid:durableId="695739312">
    <w:abstractNumId w:val="3"/>
  </w:num>
  <w:num w:numId="20" w16cid:durableId="460418384">
    <w:abstractNumId w:val="19"/>
  </w:num>
  <w:num w:numId="21" w16cid:durableId="763963201">
    <w:abstractNumId w:val="0"/>
  </w:num>
  <w:num w:numId="22" w16cid:durableId="1437946529">
    <w:abstractNumId w:val="0"/>
  </w:num>
  <w:num w:numId="23" w16cid:durableId="309099874">
    <w:abstractNumId w:val="17"/>
  </w:num>
  <w:num w:numId="24" w16cid:durableId="123142161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oFAJ/Kfx8tAAAA"/>
  </w:docVars>
  <w:rsids>
    <w:rsidRoot w:val="002804D3"/>
    <w:rsid w:val="000006E1"/>
    <w:rsid w:val="00000EBA"/>
    <w:rsid w:val="000013AA"/>
    <w:rsid w:val="00001757"/>
    <w:rsid w:val="00001D15"/>
    <w:rsid w:val="00002230"/>
    <w:rsid w:val="00002A37"/>
    <w:rsid w:val="00002F51"/>
    <w:rsid w:val="000046E3"/>
    <w:rsid w:val="00004B2A"/>
    <w:rsid w:val="0000543D"/>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9A9"/>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AC0"/>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68C3"/>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072"/>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8B"/>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5E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B7DEA"/>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A7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30</TotalTime>
  <Pages>2</Pages>
  <Words>649</Words>
  <Characters>3703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4344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8</cp:revision>
  <cp:lastPrinted>2008-01-31T16:09:00Z</cp:lastPrinted>
  <dcterms:created xsi:type="dcterms:W3CDTF">2023-03-21T02:31:00Z</dcterms:created>
  <dcterms:modified xsi:type="dcterms:W3CDTF">2023-04-03T08:27:00Z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